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8B0000"/>
          <w:sz w:val="22"/>
        </w:rPr>
        <w:t>RESTRICTED — FOR OFFICIAL USE ONLY</w:t>
      </w:r>
    </w:p>
    <w:p>
      <w:pPr>
        <w:jc w:val="center"/>
      </w:pPr>
      <w:r>
        <w:rPr>
          <w:b/>
          <w:sz w:val="24"/>
        </w:rPr>
        <w:t>MINISTRY OF FOREIGN AFFAIRS — KINGDOM OF BREMERWALD</w:t>
      </w:r>
    </w:p>
    <w:p>
      <w:pPr>
        <w:jc w:val="center"/>
      </w:pPr>
      <w:r>
        <w:rPr>
          <w:i/>
          <w:sz w:val="20"/>
        </w:rPr>
        <w:t>Diplomatic Cable</w:t>
      </w:r>
    </w:p>
    <w:p/>
    <w:tbl>
      <w:tblPr>
        <w:tblW w:type="auto" w:w="0"/>
        <w:tblLayout w:type="fixed"/>
        <w:tblLook w:firstColumn="1" w:firstRow="1" w:lastColumn="0" w:lastRow="0" w:noHBand="0" w:noVBand="1" w:val="04A0"/>
      </w:tblPr>
      <w:tblGrid>
        <w:gridCol w:w="4680"/>
        <w:gridCol w:w="4680"/>
      </w:tblGrid>
      <w:tr>
        <w:tc>
          <w:tcPr>
            <w:tcW w:type="dxa" w:w="2160"/>
          </w:tcPr>
          <w:p>
            <w:r>
              <w:rPr>
                <w:b/>
                <w:sz w:val="20"/>
              </w:rPr>
              <w:t>CABLE:</w:t>
            </w:r>
          </w:p>
        </w:tc>
        <w:tc>
          <w:tcPr>
            <w:tcW w:type="dxa" w:w="7200"/>
          </w:tcPr>
          <w:p>
            <w:r>
              <w:rPr>
                <w:sz w:val="20"/>
              </w:rPr>
              <w:t>2026/0517-V</w:t>
            </w:r>
          </w:p>
        </w:tc>
      </w:tr>
      <w:tr>
        <w:tc>
          <w:tcPr>
            <w:tcW w:type="dxa" w:w="2160"/>
          </w:tcPr>
          <w:p>
            <w:r>
              <w:rPr>
                <w:b/>
                <w:sz w:val="20"/>
              </w:rPr>
              <w:t>CLASSIFICATION:</w:t>
            </w:r>
          </w:p>
        </w:tc>
        <w:tc>
          <w:tcPr>
            <w:tcW w:type="dxa" w:w="7200"/>
          </w:tcPr>
          <w:p>
            <w:r>
              <w:rPr>
                <w:sz w:val="20"/>
              </w:rPr>
              <w:t>RESTRICTED / FOR OFFICIAL USE ONLY</w:t>
            </w:r>
          </w:p>
        </w:tc>
      </w:tr>
      <w:tr>
        <w:tc>
          <w:tcPr>
            <w:tcW w:type="dxa" w:w="2160"/>
          </w:tcPr>
          <w:p>
            <w:r>
              <w:rPr>
                <w:b/>
                <w:sz w:val="20"/>
              </w:rPr>
              <w:t>FROM:</w:t>
            </w:r>
          </w:p>
        </w:tc>
        <w:tc>
          <w:tcPr>
            <w:tcW w:type="dxa" w:w="7200"/>
          </w:tcPr>
          <w:p>
            <w:r>
              <w:rPr>
                <w:sz w:val="20"/>
              </w:rPr>
              <w:t>Embassy of Bremerwald, Vichten</w:t>
            </w:r>
          </w:p>
        </w:tc>
      </w:tr>
      <w:tr>
        <w:tc>
          <w:tcPr>
            <w:tcW w:type="dxa" w:w="2160"/>
          </w:tcPr>
          <w:p>
            <w:r>
              <w:rPr>
                <w:b/>
                <w:sz w:val="20"/>
              </w:rPr>
              <w:t>TO:</w:t>
            </w:r>
          </w:p>
        </w:tc>
        <w:tc>
          <w:tcPr>
            <w:tcW w:type="dxa" w:w="7200"/>
          </w:tcPr>
          <w:p>
            <w:r>
              <w:rPr>
                <w:sz w:val="20"/>
              </w:rPr>
              <w:t>Ministry of Foreign Affairs, Office of European Affairs, Kongsberg</w:t>
            </w:r>
          </w:p>
        </w:tc>
      </w:tr>
      <w:tr>
        <w:tc>
          <w:tcPr>
            <w:tcW w:type="dxa" w:w="2160"/>
          </w:tcPr>
          <w:p>
            <w:r>
              <w:rPr>
                <w:b/>
                <w:sz w:val="20"/>
              </w:rPr>
              <w:t>DATE:</w:t>
            </w:r>
          </w:p>
        </w:tc>
        <w:tc>
          <w:tcPr>
            <w:tcW w:type="dxa" w:w="7200"/>
          </w:tcPr>
          <w:p>
            <w:r>
              <w:rPr>
                <w:sz w:val="20"/>
              </w:rPr>
              <w:t>27 May 2026</w:t>
            </w:r>
          </w:p>
        </w:tc>
      </w:tr>
      <w:tr>
        <w:tc>
          <w:tcPr>
            <w:tcW w:type="dxa" w:w="2160"/>
          </w:tcPr>
          <w:p>
            <w:r>
              <w:rPr>
                <w:b/>
                <w:sz w:val="20"/>
              </w:rPr>
              <w:t>SUBJECT:</w:t>
            </w:r>
          </w:p>
        </w:tc>
        <w:tc>
          <w:tcPr>
            <w:tcW w:type="dxa" w:w="7200"/>
          </w:tcPr>
          <w:p>
            <w:r>
              <w:rPr>
                <w:sz w:val="20"/>
              </w:rPr>
              <w:t>Conversation with port authority counterpart — residual concerns following the Nordlink incident</w:t>
            </w:r>
          </w:p>
        </w:tc>
      </w:tr>
      <w:tr>
        <w:tc>
          <w:tcPr>
            <w:tcW w:type="dxa" w:w="2160"/>
          </w:tcPr>
          <w:p>
            <w:r>
              <w:rPr>
                <w:b/>
                <w:sz w:val="20"/>
              </w:rPr>
              <w:t>REF:</w:t>
            </w:r>
          </w:p>
        </w:tc>
        <w:tc>
          <w:tcPr>
            <w:tcW w:type="dxa" w:w="7200"/>
          </w:tcPr>
          <w:p>
            <w:r>
              <w:rPr>
                <w:sz w:val="20"/>
              </w:rPr>
              <w:t>VICHT/2026/0501-N (Nordlink credentials leak, internal note)</w:t>
            </w:r>
          </w:p>
        </w:tc>
      </w:tr>
    </w:tbl>
    <w:p/>
    <w:p>
      <w:pPr>
        <w:spacing w:after="160"/>
      </w:pPr>
      <w:r>
        <w:t>1. SUMMARY. On 26 May the undersigned met informally with the Vichten port authority counterpart, Director Halvorsen, concerning lingering operational anxieties tied to the Nordlink leak. The counterpart expressed measured confidence in remediation but cautioned that vendor coordination remains fragile. No formal request was tabled and no records were exchanged.</w:t>
      </w:r>
    </w:p>
    <w:p>
      <w:pPr>
        <w:spacing w:after="160"/>
      </w:pPr>
      <w:r>
        <w:t>2. C​O‌N​T​E​X‌T. H‌a‌l​v‌o​r‌s​e​n n‌o​t​e‌d t​h​a‌t t​h​e i‌n​t‌e​r​n​a‌l r​e​v​i​e‌w c​o‌n‌c​l‌u​d​e‌d c‌r​e​d‌e​n​t​i‌a‌l e​x​p​o​s​u​r‌e w‌a​s c​o‌n​f​i​n‌e‌d t​o t‌h‌e N​o​r​d‌l​i‌n‌k-S​a‌l​t‌s​t​r‌o‌m i​n‌t​e‌r​f‌a​c‌e a​n‌d d​i‌d n​o‌t r​e‌a​c​h s​c‌h​e​d​u‌l​i‌ng or ballast subsystems. Independent verification has not been shared with the Embassy. Local press coverage has been muted, which the counterpart attributed to coordinated messaging rather than to indifference. He volunteered that two contractors had been quietly reassigned and that audit logs from the relevant week were preserved in cold storage.</w:t>
      </w:r>
    </w:p>
    <w:p>
      <w:pPr>
        <w:spacing w:after="160"/>
      </w:pPr>
      <w:r>
        <w:t>3. ASSESSMENT. The conversation reinforced the impression that Nordlink remediation is being managed for political optics as much as for technical hygiene. The counterpart was visibly relieved when conversation moved away from the topic. Embassy assesses that further unsolicited questions will yield diminishing returns and recommends a holding posture pending the next bilateral working group.</w:t>
      </w:r>
    </w:p>
    <w:p>
      <w:pPr>
        <w:spacing w:after="160"/>
      </w:pPr>
      <w:r>
        <w:t>4. RECOMMENDATION. Maintain current engagement cadence. Defer follow-up correspondence until the working group convenes on 12 June. Embassy will continue to monitor open-source signals and will report any movement. No action required by the Department at this time.</w:t>
      </w:r>
    </w:p>
    <w:p/>
    <w:p>
      <w:pPr>
        <w:spacing w:after="40"/>
      </w:pPr>
      <w:r>
        <w:t>Drafted by E. Skoglund, Political Section.</w:t>
      </w:r>
    </w:p>
    <w:p>
      <w:pPr>
        <w:spacing w:after="40"/>
      </w:pPr>
      <w:r>
        <w:t>Approved by M. Renvik, Deputy Chief of Mission.</w:t>
      </w:r>
    </w:p>
    <w:p>
      <w:pPr>
        <w:spacing w:after="40"/>
      </w:pPr>
    </w:p>
    <w:p>
      <w:pPr>
        <w:spacing w:after="40"/>
      </w:pPr>
      <w:r>
        <w:t>END CABLE.</w:t>
      </w:r>
    </w:p>
    <w:p>
      <w:pPr>
        <w:jc w:val="center"/>
      </w:pPr>
      <w:r>
        <w:rPr>
          <w:b/>
          <w:color w:val="8B0000"/>
          <w:sz w:val="20"/>
        </w:rPr>
        <w:t>RESTRICTED — FOR OFFICIAL USE ONLY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